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C63A" w14:textId="3C369886" w:rsidR="00632605" w:rsidRPr="00C40348" w:rsidRDefault="00632605" w:rsidP="00464078">
      <w:pPr>
        <w:spacing w:line="240" w:lineRule="auto"/>
        <w:jc w:val="both"/>
        <w:rPr>
          <w:b/>
        </w:rPr>
      </w:pPr>
      <w:r w:rsidRPr="00C40348">
        <w:rPr>
          <w:b/>
        </w:rPr>
        <w:t>Streszczenie pracy doktorskiej</w:t>
      </w:r>
      <w:r w:rsidR="005B23D1">
        <w:rPr>
          <w:b/>
        </w:rPr>
        <w:t xml:space="preserve"> mgr Tomasza Trockiego pt.</w:t>
      </w:r>
      <w:r w:rsidR="00D24635" w:rsidRPr="00C40348">
        <w:rPr>
          <w:b/>
        </w:rPr>
        <w:t xml:space="preserve"> „</w:t>
      </w:r>
      <w:r w:rsidRPr="00C40348">
        <w:rPr>
          <w:b/>
        </w:rPr>
        <w:t>Wpływ ogłoszenia upadłości i otwarcia postępowania restrukturyzacyjnego na dopuszczalność potrącenia ustawowego i umownego</w:t>
      </w:r>
      <w:r w:rsidR="00464078">
        <w:rPr>
          <w:b/>
        </w:rPr>
        <w:t>”</w:t>
      </w:r>
      <w:r w:rsidR="00C40348">
        <w:rPr>
          <w:b/>
        </w:rPr>
        <w:t>.</w:t>
      </w:r>
    </w:p>
    <w:p w14:paraId="24F07D6E" w14:textId="350B6312" w:rsidR="00506600" w:rsidRDefault="00506600" w:rsidP="00464078">
      <w:pPr>
        <w:spacing w:line="240" w:lineRule="auto"/>
        <w:jc w:val="both"/>
      </w:pPr>
      <w:r w:rsidRPr="00506600">
        <w:rPr>
          <w:b/>
          <w:bCs/>
        </w:rPr>
        <w:t>Słowa kluczowe:</w:t>
      </w:r>
      <w:r>
        <w:t xml:space="preserve"> upadłość, restrukturyzacja, potrącenie</w:t>
      </w:r>
    </w:p>
    <w:p w14:paraId="00897DB5" w14:textId="3AB09FD5" w:rsidR="00D24635" w:rsidRPr="00510F64" w:rsidRDefault="00D24635" w:rsidP="00464078">
      <w:pPr>
        <w:spacing w:line="240" w:lineRule="auto"/>
        <w:jc w:val="both"/>
      </w:pPr>
      <w:r w:rsidRPr="00510F64">
        <w:t>Przedmiotem rozprawy jest analiza</w:t>
      </w:r>
      <w:r w:rsidR="009D04FA">
        <w:t xml:space="preserve"> wpływu ogłoszenia upadłości</w:t>
      </w:r>
      <w:r w:rsidR="009813F3">
        <w:t xml:space="preserve"> na podstawie p.u.</w:t>
      </w:r>
      <w:r w:rsidR="009813F3">
        <w:rPr>
          <w:rStyle w:val="Odwoanieprzypisudolnego"/>
        </w:rPr>
        <w:footnoteReference w:id="1"/>
      </w:r>
      <w:r w:rsidR="009D04FA">
        <w:t xml:space="preserve"> i</w:t>
      </w:r>
      <w:r w:rsidRPr="00510F64">
        <w:t xml:space="preserve"> otwarcia po</w:t>
      </w:r>
      <w:r w:rsidR="009813F3">
        <w:t>stępowania restrukturyzacyjnego na podstawie p.r.</w:t>
      </w:r>
      <w:r w:rsidR="009813F3">
        <w:rPr>
          <w:rStyle w:val="Odwoanieprzypisudolnego"/>
        </w:rPr>
        <w:footnoteReference w:id="2"/>
      </w:r>
      <w:r w:rsidR="009813F3">
        <w:t xml:space="preserve"> </w:t>
      </w:r>
      <w:r w:rsidRPr="00510F64">
        <w:t>na dopuszczalnoś</w:t>
      </w:r>
      <w:r w:rsidR="005F095D">
        <w:t>ć</w:t>
      </w:r>
      <w:r w:rsidRPr="00510F64">
        <w:t xml:space="preserve"> potrącenia ustawowego i umownego. Wybór tematu</w:t>
      </w:r>
      <w:bookmarkStart w:id="0" w:name="_GoBack"/>
      <w:bookmarkEnd w:id="0"/>
      <w:r w:rsidRPr="00510F64">
        <w:t xml:space="preserve"> niniejszej pracy jest podyktowany szczególną rolą, jaką potrącenie odgrywa w postępowaniu upadłościowym i postępowaniu restrukturyzacyjnym. Funkcja gwarancyjna potrącenia materializuje się dopiero wtedy, gdy sytuacja majątkowa dłużnika jest na tyle ciężka, że zaspokojenie wszystkich wierzycieli dłużnika staje się niemożliwe. Potrącenie stawia wtedy potrącającego wierzyciela w uprzywilejowanej pozycji względem pozostałych wierzycieli</w:t>
      </w:r>
      <w:r w:rsidR="0095683A" w:rsidRPr="00510F64">
        <w:t xml:space="preserve">. Potrącenie dokonywane </w:t>
      </w:r>
      <w:r w:rsidR="009D04FA">
        <w:t>wobec niewypłacalnego dłużnika, ze względu na realizowaną funkcję gwarancyjną potrącenia, jest na tyle odmienne od potrącenia dokonywanego wobec dłużnika</w:t>
      </w:r>
      <w:r w:rsidR="0083099A" w:rsidRPr="0083099A">
        <w:t xml:space="preserve"> </w:t>
      </w:r>
      <w:r w:rsidR="0083099A">
        <w:t>wypłacalnego</w:t>
      </w:r>
      <w:r w:rsidR="009D04FA">
        <w:t>, że</w:t>
      </w:r>
      <w:r w:rsidR="0095683A" w:rsidRPr="00510F64">
        <w:t xml:space="preserve"> konieczność wprowadzenia szczególnych regulacji związanych z dopuszczalnością potrącenia upadłościowego została dostrzeżona już w prawodawstwie rzymskim przez wprowadzenie instytucji </w:t>
      </w:r>
      <w:r w:rsidR="0095683A" w:rsidRPr="009D04FA">
        <w:rPr>
          <w:i/>
        </w:rPr>
        <w:t>agere cum deductione</w:t>
      </w:r>
      <w:r w:rsidR="0095683A" w:rsidRPr="00510F64">
        <w:t>. W dzisiejszym czasach nie budzi wątpliwości potrzeba obowiązywania szczególnych zasad dotyczących potrącenia w razie niewypłacalności dłużnika. Z tych względów zagadnienie dopuszczalności potrącenia w razie ogłoszenia upadłości lub otwarcia postępowania restrukturyzacyjnego zasługuje na odrębne opracowanie</w:t>
      </w:r>
      <w:r w:rsidR="009D04FA">
        <w:t>.</w:t>
      </w:r>
    </w:p>
    <w:p w14:paraId="35A84C0A" w14:textId="2AFDD80B" w:rsidR="00632605" w:rsidRDefault="00F31EC6" w:rsidP="00464078">
      <w:pPr>
        <w:spacing w:line="240" w:lineRule="auto"/>
        <w:jc w:val="both"/>
      </w:pPr>
      <w:r>
        <w:t xml:space="preserve">Celem rozprawy jest </w:t>
      </w:r>
      <w:r w:rsidRPr="00F31EC6">
        <w:t>wykazanie słuszności</w:t>
      </w:r>
      <w:r w:rsidR="005F095D">
        <w:t xml:space="preserve"> </w:t>
      </w:r>
      <w:r w:rsidRPr="00F31EC6">
        <w:t>tezy, iż regulacje p.u., p.r., i n.r.u.</w:t>
      </w:r>
      <w:r w:rsidRPr="00F31EC6">
        <w:rPr>
          <w:vertAlign w:val="superscript"/>
        </w:rPr>
        <w:footnoteReference w:id="3"/>
      </w:r>
      <w:r w:rsidRPr="00F31EC6">
        <w:t>, które odnoszą się do potrącenia, mają zastosowanie nie tylko do potrącenia ustawowego, ale również do potrącenia umownego</w:t>
      </w:r>
      <w:r w:rsidR="009D04FA" w:rsidRPr="0006654D">
        <w:t xml:space="preserve">.  </w:t>
      </w:r>
      <w:r>
        <w:t>W ramach pracy</w:t>
      </w:r>
      <w:r w:rsidR="0083099A">
        <w:t>,</w:t>
      </w:r>
      <w:r>
        <w:t xml:space="preserve"> kwestia wpływu ogłoszenia upadłości i otwarcia postępowania restrukturyzacyjne</w:t>
      </w:r>
      <w:r w:rsidR="009813F3">
        <w:t xml:space="preserve">go </w:t>
      </w:r>
      <w:r w:rsidR="0083099A">
        <w:t xml:space="preserve">na dopuszczalność potrącenia </w:t>
      </w:r>
      <w:r w:rsidR="009813F3">
        <w:t>została omówiona całościowo oraz</w:t>
      </w:r>
      <w:r>
        <w:t xml:space="preserve"> </w:t>
      </w:r>
      <w:r w:rsidR="00510F64">
        <w:t>zostały</w:t>
      </w:r>
      <w:r w:rsidR="0006654D" w:rsidRPr="0006654D">
        <w:t xml:space="preserve"> sformułowane wnioski </w:t>
      </w:r>
      <w:r w:rsidR="0006654D" w:rsidRPr="0006654D">
        <w:rPr>
          <w:i/>
        </w:rPr>
        <w:t>de lege lata</w:t>
      </w:r>
      <w:r w:rsidR="0006654D" w:rsidRPr="0006654D">
        <w:t xml:space="preserve">  i </w:t>
      </w:r>
      <w:r w:rsidR="0006654D" w:rsidRPr="0006654D">
        <w:rPr>
          <w:i/>
        </w:rPr>
        <w:t>de lege ferenda</w:t>
      </w:r>
      <w:r w:rsidR="0006654D" w:rsidRPr="0006654D">
        <w:t xml:space="preserve"> odnośnie szeregu zagadnień prawnych związanych z </w:t>
      </w:r>
      <w:r>
        <w:t>tą materią badawczą.</w:t>
      </w:r>
      <w:r w:rsidR="009D04FA">
        <w:t xml:space="preserve"> </w:t>
      </w:r>
    </w:p>
    <w:p w14:paraId="0A3AF34C" w14:textId="315966DF" w:rsidR="00510F64" w:rsidRDefault="00510F64" w:rsidP="00464078">
      <w:pPr>
        <w:spacing w:line="240" w:lineRule="auto"/>
        <w:jc w:val="both"/>
      </w:pPr>
      <w:r w:rsidRPr="00510F64">
        <w:t>Podstawową metodą badawczą przyjętą w pracy jest metoda dogmatyczna (logiczno-językowa) oraz prawnoporównawcza. W pierwszej kolejności analizie zostały poddane przepisy p.u., p.r. i n.r.u. odnoszące się do potrącenia. Badaniu zostały poddane również przepisy p.u., p.r. i n.r.u. nie związane bezpośrednio z potrąceniem, ale pozwalające wysunąć argumenty istotne dla badanego obszaru. W pracy został wykorzystany dorobek doktryny oraz orzecznictwa Sądu Najwyższego nie tylko odnoszący się do obowiązujących przepisów p.r. i p.u., ale również odnoszący się do regulacji historycznych, gdyż w dużej mierze obowiązujące przepisy są oparte na rozwiązaniach historycznych</w:t>
      </w:r>
      <w:r>
        <w:t>.</w:t>
      </w:r>
      <w:r w:rsidR="005F095D">
        <w:t xml:space="preserve"> Analiza prawnoporównawcza skupiła się na porównaniu różnych </w:t>
      </w:r>
      <w:r w:rsidR="00196290">
        <w:t>konstrukcji</w:t>
      </w:r>
      <w:r w:rsidR="005F095D">
        <w:t xml:space="preserve"> systemowych dotyczących potrącenia w upadłości</w:t>
      </w:r>
      <w:r w:rsidR="00196290">
        <w:t>,</w:t>
      </w:r>
      <w:r w:rsidR="005F095D">
        <w:t xml:space="preserve"> w tym porównania </w:t>
      </w:r>
      <w:r w:rsidR="00196290">
        <w:t>konstrukcji</w:t>
      </w:r>
      <w:r w:rsidR="005F095D">
        <w:t xml:space="preserve"> przyjęte</w:t>
      </w:r>
      <w:r w:rsidR="00196290">
        <w:t>j</w:t>
      </w:r>
      <w:r w:rsidR="005F095D">
        <w:t xml:space="preserve"> w prawie polskim </w:t>
      </w:r>
      <w:r w:rsidR="00111908">
        <w:t>z</w:t>
      </w:r>
      <w:r w:rsidR="00111908" w:rsidRPr="00111908">
        <w:t xml:space="preserve"> konstrukcją przyjętą w </w:t>
      </w:r>
      <w:r w:rsidR="005F095D">
        <w:t>prawie angielskim. Analizie zostały poddane również bardziej szczegółow</w:t>
      </w:r>
      <w:r w:rsidR="00196290">
        <w:t xml:space="preserve">e rozwiązania związane z potrąceniem w upadłości </w:t>
      </w:r>
      <w:r w:rsidR="005F095D">
        <w:t>przyjmowane w prawie angielskim, francuskim, niemieckim, hiszpańskim, fińskim, szwedzkim, duńskim, holenderskim, austriackim, włoskim, luksembur</w:t>
      </w:r>
      <w:r w:rsidR="00196290">
        <w:t>s</w:t>
      </w:r>
      <w:r w:rsidR="005F095D">
        <w:t>kim</w:t>
      </w:r>
      <w:r w:rsidR="00196290">
        <w:t>,</w:t>
      </w:r>
      <w:r w:rsidR="005F095D">
        <w:t xml:space="preserve"> szwajcarskim</w:t>
      </w:r>
      <w:r w:rsidR="00196290">
        <w:t xml:space="preserve"> oraz</w:t>
      </w:r>
      <w:r w:rsidR="005F095D">
        <w:t xml:space="preserve"> USA</w:t>
      </w:r>
      <w:r w:rsidR="00196290">
        <w:t>.</w:t>
      </w:r>
      <w:r w:rsidR="005F095D">
        <w:t xml:space="preserve"> </w:t>
      </w:r>
    </w:p>
    <w:p w14:paraId="1AECFFC9" w14:textId="7007C971" w:rsidR="00510F64" w:rsidRPr="00632605" w:rsidRDefault="00510F64" w:rsidP="00464078">
      <w:pPr>
        <w:spacing w:line="240" w:lineRule="auto"/>
        <w:jc w:val="both"/>
      </w:pPr>
      <w:r w:rsidRPr="00510F64">
        <w:t>Prac</w:t>
      </w:r>
      <w:r w:rsidR="0083099A">
        <w:t>a została podzielona na siedem rozdziałów. W r</w:t>
      </w:r>
      <w:r w:rsidRPr="00510F64">
        <w:t>ozdziale I został przedstawiony zarys instytucji potrącenia, postępowania upadłościowego i  postępowania restrukturyzacyjnego oraz regulacji p.r. i p.u. dotyczą</w:t>
      </w:r>
      <w:r w:rsidR="0083099A">
        <w:t>cych potrącenia. Istotna część r</w:t>
      </w:r>
      <w:r w:rsidRPr="00510F64">
        <w:t>ozdziału I została również przeznaczona na rozważania dotyczące zagadnienia momentu powstania wierzytelności. Moment powstania wierzytelności jest jednym z podstawowych kryteriów decydujących o zastosowaniu ograniczeń dotyczących dopuszczalności potrącenia w postępowaniu upadłościowym i p</w:t>
      </w:r>
      <w:r w:rsidR="009813F3">
        <w:t>ostępowaniu restrukturyzacyjnym</w:t>
      </w:r>
      <w:r w:rsidR="0083099A">
        <w:t xml:space="preserve">. W </w:t>
      </w:r>
      <w:r w:rsidR="0083099A">
        <w:lastRenderedPageBreak/>
        <w:t>r</w:t>
      </w:r>
      <w:r w:rsidRPr="00510F64">
        <w:t xml:space="preserve">ozdziale II </w:t>
      </w:r>
      <w:r>
        <w:t xml:space="preserve">został przedstawiony </w:t>
      </w:r>
      <w:r w:rsidRPr="00510F64">
        <w:t>rozwój historyczny zarówno regulacji upadłościowych jak i potrącenia. Następnie rozważane są aspekty</w:t>
      </w:r>
      <w:r w:rsidR="00A17278">
        <w:t xml:space="preserve"> kolizyjnoprawne oraz główne róż</w:t>
      </w:r>
      <w:r w:rsidRPr="00510F64">
        <w:t>nice, jakie występują w rozwiązaniach przyjmowanych dla dopuszczalności potrącenia upadłościowego w poszczególnych jurysdykcjach</w:t>
      </w:r>
      <w:r w:rsidR="0083099A" w:rsidRPr="00C00634">
        <w:t>.  W r</w:t>
      </w:r>
      <w:r w:rsidRPr="00C00634">
        <w:t>ozdziale III zostały omówione ograniczenia dopuszczalności potrącenia przewidziane w art. 94 i 95 p.u. oraz art. 253 ust. 1 i 2 p.r. związane z nabyciem długu po ogłoszeniu upadłości lub otwarciu postępowania restrukturyzacyjnego w drodze przelewu, indosu lub subrogacji. W związku z tym, że art. 94 p.u. i art. 253 ust. 1 i 2 p.r. odnoszą się tylko do trzech spos</w:t>
      </w:r>
      <w:r w:rsidR="00C00634">
        <w:t>o</w:t>
      </w:r>
      <w:r w:rsidRPr="00C00634">
        <w:t>bów przenoszenia wierzytelności, tj. pr</w:t>
      </w:r>
      <w:r w:rsidR="0000553E" w:rsidRPr="00C00634">
        <w:t>zelewu, indosu i subrogacji, w r</w:t>
      </w:r>
      <w:r w:rsidRPr="00C00634">
        <w:t>ozdziale III zosta</w:t>
      </w:r>
      <w:r w:rsidR="00C00634">
        <w:t>ły</w:t>
      </w:r>
      <w:r w:rsidRPr="00C00634">
        <w:t xml:space="preserve"> przeanalizowane również inne sposoby przenoszenia wierzytelności, aby ustalić, czy regulacje te osiągają swój zamierzony cel, w postaci wyeliminowania nieuczciwego obrotu wierzytelnościami dokonywanego w celu poprawienia stopnia zaspokojenia wierzytelności w dr</w:t>
      </w:r>
      <w:r w:rsidR="0083099A" w:rsidRPr="00C00634">
        <w:t>odze potrącenia. W r</w:t>
      </w:r>
      <w:r w:rsidRPr="00C00634">
        <w:t>ozdziale III zosta</w:t>
      </w:r>
      <w:r w:rsidR="00C00634">
        <w:t>ła</w:t>
      </w:r>
      <w:r w:rsidRPr="00C00634">
        <w:t xml:space="preserve"> zbadana również konstrukcja rocznego okresu ochronnego przewidzianego w art. 94 p.u., w tym analizie zosta</w:t>
      </w:r>
      <w:r w:rsidR="00C00634">
        <w:t>ło</w:t>
      </w:r>
      <w:r w:rsidRPr="00C00634">
        <w:t xml:space="preserve"> poddane jedno z najbardziej kontrowersyjnych zagadnień z zakresu prawa upadłościowego, a mianowicie, czy regulacja art. 94 p.u. znajdzie zastosowanie do potrącenia dokonanego przed ogłoszeniem upadłości.</w:t>
      </w:r>
      <w:r w:rsidR="009D04FA">
        <w:t xml:space="preserve"> </w:t>
      </w:r>
      <w:r w:rsidRPr="00510F64">
        <w:t>Rozdział IV skupia sią na samej wierzytelności z perspektywy dopuszczalności jej potrącenia w postępowaniu upadłościowym i postępowaniu restrukturyzacyjnym.</w:t>
      </w:r>
      <w:r w:rsidR="00C6084F">
        <w:t xml:space="preserve"> W pierwszej kolejności  została</w:t>
      </w:r>
      <w:r w:rsidRPr="00510F64">
        <w:t xml:space="preserve"> zbadana kwestia wpływu momentu powstania wierzytelności wobec upadłego/dłużnika na dopuszczalność jej pot</w:t>
      </w:r>
      <w:r w:rsidR="0083099A">
        <w:t>rącenia. Następnie analizie zostały</w:t>
      </w:r>
      <w:r w:rsidRPr="00510F64">
        <w:t xml:space="preserve"> poddane przepisy p.u. i p.r., które określają wpływ ogłoszenia upadłości lub otwarcia postępowania restrukturyzacyjnego na potrącaną wierzytelność. Ogłoszenie upadłości oraz otwarcie postępowania restrukturyzacyjnego wywierają określne skutki odnośnie samej wierzytelności w sposób, który może wpłynąć na spełnienie przesłanek potrącenia. </w:t>
      </w:r>
      <w:r w:rsidR="0083099A">
        <w:t>W r</w:t>
      </w:r>
      <w:r w:rsidR="00C6084F">
        <w:t xml:space="preserve">ozdziale IV została omówiona również dopuszczalność potrącenia wierzytelności warunkowej oraz potrącenia </w:t>
      </w:r>
      <w:r w:rsidRPr="00510F64">
        <w:t xml:space="preserve">odsetek narastających po ogłoszeniu upadłości. Na końcu </w:t>
      </w:r>
      <w:r w:rsidR="0083099A">
        <w:t>tego r</w:t>
      </w:r>
      <w:r w:rsidR="00C6084F">
        <w:t>ozdziału przedmiotem rozważań jest</w:t>
      </w:r>
      <w:r w:rsidRPr="00510F64">
        <w:t xml:space="preserve"> kwestia wpływu</w:t>
      </w:r>
      <w:r w:rsidR="0083099A">
        <w:t xml:space="preserve"> jaki</w:t>
      </w:r>
      <w:r w:rsidRPr="00510F64">
        <w:t xml:space="preserve"> odroczenie terminu płatności wierzytelności w układzie przyjętym w postępowaniu restrukturyzacyjnym lub postępowaniu upadłościowym</w:t>
      </w:r>
      <w:r w:rsidR="009D04FA">
        <w:t xml:space="preserve"> </w:t>
      </w:r>
      <w:r w:rsidR="0083099A">
        <w:t xml:space="preserve">może mieć </w:t>
      </w:r>
      <w:r w:rsidR="009D04FA">
        <w:t xml:space="preserve">na dopuszczalność potrącenia. </w:t>
      </w:r>
      <w:r w:rsidRPr="00510F64">
        <w:t>W</w:t>
      </w:r>
      <w:r w:rsidR="0039595A">
        <w:t xml:space="preserve"> r</w:t>
      </w:r>
      <w:r w:rsidRPr="00510F64">
        <w:t xml:space="preserve">ozdziale V </w:t>
      </w:r>
      <w:r w:rsidR="00C6084F">
        <w:t>zostały</w:t>
      </w:r>
      <w:r w:rsidRPr="00510F64">
        <w:t xml:space="preserve"> omówione przepisy p.u. i p.r. określające termin na złożenie oświadcze</w:t>
      </w:r>
      <w:r w:rsidR="00C6084F">
        <w:t>nia o zamiarze potrącenia</w:t>
      </w:r>
      <w:r w:rsidRPr="00510F64">
        <w:t>.</w:t>
      </w:r>
      <w:r w:rsidR="009D04FA">
        <w:t xml:space="preserve"> </w:t>
      </w:r>
      <w:r w:rsidR="0039595A">
        <w:t>Natomiast r</w:t>
      </w:r>
      <w:r w:rsidRPr="00510F64">
        <w:t>ozdział VI zawiera analizę szczegółowych regulacji związanych z badanym tematem. W pierws</w:t>
      </w:r>
      <w:r w:rsidR="0083099A">
        <w:t>zej kolejności analizie został</w:t>
      </w:r>
      <w:r w:rsidRPr="00510F64">
        <w:t xml:space="preserve"> poddany art. 9 n.r.u., który tworzy dla potrącającego wierzyciela tzw. bezpieczną przystań (</w:t>
      </w:r>
      <w:r w:rsidRPr="00510F64">
        <w:rPr>
          <w:i/>
        </w:rPr>
        <w:t>safe harbor</w:t>
      </w:r>
      <w:r w:rsidRPr="00510F64">
        <w:t xml:space="preserve">) i odgrywa fundamentalną rolę przy ustaleniu dopuszczalności potrącenia </w:t>
      </w:r>
      <w:r w:rsidR="00C6084F">
        <w:t xml:space="preserve">w postępowaniu upadłościowym oraz postępowaniu restrukturyzacyjnym. </w:t>
      </w:r>
      <w:r w:rsidRPr="00510F64">
        <w:t>Drugi badany obszar, to regulacje p.u. wprowadzające odrębne masy upadłości w odniesieniu do których są przewidziane różne kolej</w:t>
      </w:r>
      <w:r w:rsidR="00C6084F">
        <w:t>ności zaspokajania wierzycieli</w:t>
      </w:r>
      <w:r w:rsidRPr="00510F64">
        <w:t>. Na</w:t>
      </w:r>
      <w:r w:rsidR="0039595A">
        <w:t>stępnie przedmiotem badania są</w:t>
      </w:r>
      <w:r w:rsidRPr="00510F64">
        <w:t xml:space="preserve"> przepisy związane z potrąceniem wierzytelności z tytułu terminowych operacji finansowych, transakcji repo oraz pożyczki papierów wartościowych</w:t>
      </w:r>
      <w:r w:rsidR="0083099A">
        <w:t>. Kolejnym badanym obszarem są</w:t>
      </w:r>
      <w:r w:rsidRPr="00510F64">
        <w:t xml:space="preserve"> przepisy związane z potrąceniem wierzytelności uczestników systemów płatności oraz systemów roz</w:t>
      </w:r>
      <w:r w:rsidR="00C6084F">
        <w:t>rachunku papierów wartościowych</w:t>
      </w:r>
      <w:r w:rsidR="0083099A">
        <w:t>. W rozdziale VI zostały</w:t>
      </w:r>
      <w:r w:rsidRPr="00510F64">
        <w:t xml:space="preserve"> omówione regulacje p.u., które tworzą w zakresie dopuszczalności potrącenia tzw. bezpieczną przystań (</w:t>
      </w:r>
      <w:r w:rsidRPr="00510F64">
        <w:rPr>
          <w:i/>
        </w:rPr>
        <w:t>safe harbor</w:t>
      </w:r>
      <w:r w:rsidRPr="00510F64">
        <w:t>) w razie ogłoszenia upadłości określonej kategor</w:t>
      </w:r>
      <w:r w:rsidR="0083099A">
        <w:t>ii banków</w:t>
      </w:r>
      <w:r w:rsidR="00C00634">
        <w:t>, zakładów ubezpieczeń i zakładów reasekuracji</w:t>
      </w:r>
      <w:r w:rsidR="0083099A">
        <w:t>. Rozdział VII został</w:t>
      </w:r>
      <w:r w:rsidRPr="00510F64">
        <w:t xml:space="preserve"> poświęcony kwestii wpływu ogłoszenia upadłości oraz otwarcia postępowania restrukturyzacyjnego na rozstrzyganie sporów dotycząc</w:t>
      </w:r>
      <w:r w:rsidR="00C6084F">
        <w:t>ych dopuszczalności potrącenia</w:t>
      </w:r>
      <w:r w:rsidRPr="00510F64">
        <w:t>.</w:t>
      </w:r>
      <w:r w:rsidR="00464078">
        <w:t xml:space="preserve"> Pracę zamyka zakończenie</w:t>
      </w:r>
      <w:r w:rsidR="002D6596">
        <w:t xml:space="preserve"> zawierające </w:t>
      </w:r>
      <w:r w:rsidR="00464078">
        <w:t>podsumow</w:t>
      </w:r>
      <w:r w:rsidR="002D6596">
        <w:t xml:space="preserve">anie </w:t>
      </w:r>
      <w:r w:rsidR="0000553E">
        <w:t xml:space="preserve">wyników analizy, w tym oceny obowiązujących regulacji prawnych w obszarze poddanym analizie badawczej oraz </w:t>
      </w:r>
      <w:r w:rsidR="002D6596">
        <w:t xml:space="preserve">sformułowanych wniosków </w:t>
      </w:r>
      <w:r w:rsidR="002D6596" w:rsidRPr="002D6596">
        <w:rPr>
          <w:i/>
        </w:rPr>
        <w:t>de lege ferenda</w:t>
      </w:r>
      <w:r w:rsidR="002D6596">
        <w:t xml:space="preserve">. </w:t>
      </w:r>
    </w:p>
    <w:sectPr w:rsidR="00510F64" w:rsidRPr="00632605" w:rsidSect="00A86B0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E29C" w14:textId="77777777" w:rsidR="00B41469" w:rsidRDefault="00B41469" w:rsidP="0006654D">
      <w:pPr>
        <w:spacing w:after="0" w:line="240" w:lineRule="auto"/>
      </w:pPr>
      <w:r>
        <w:separator/>
      </w:r>
    </w:p>
  </w:endnote>
  <w:endnote w:type="continuationSeparator" w:id="0">
    <w:p w14:paraId="59B7895E" w14:textId="77777777" w:rsidR="00B41469" w:rsidRDefault="00B41469" w:rsidP="0006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384173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A8D1DB" w14:textId="4C18C2E5" w:rsidR="00196290" w:rsidRDefault="00196290" w:rsidP="003C67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9878FEA" w14:textId="77777777" w:rsidR="00196290" w:rsidRDefault="0019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226707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073336" w14:textId="6D32D038" w:rsidR="00196290" w:rsidRDefault="00196290" w:rsidP="003C67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E9A7855" w14:textId="77777777" w:rsidR="00196290" w:rsidRDefault="0019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D33C" w14:textId="77777777" w:rsidR="00B41469" w:rsidRDefault="00B41469" w:rsidP="0006654D">
      <w:pPr>
        <w:spacing w:after="0" w:line="240" w:lineRule="auto"/>
      </w:pPr>
      <w:r>
        <w:separator/>
      </w:r>
    </w:p>
  </w:footnote>
  <w:footnote w:type="continuationSeparator" w:id="0">
    <w:p w14:paraId="14741FCA" w14:textId="77777777" w:rsidR="00B41469" w:rsidRDefault="00B41469" w:rsidP="0006654D">
      <w:pPr>
        <w:spacing w:after="0" w:line="240" w:lineRule="auto"/>
      </w:pPr>
      <w:r>
        <w:continuationSeparator/>
      </w:r>
    </w:p>
  </w:footnote>
  <w:footnote w:id="1">
    <w:p w14:paraId="764C6659" w14:textId="48A37A78" w:rsidR="009813F3" w:rsidRPr="009813F3" w:rsidRDefault="009813F3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13F3">
        <w:rPr>
          <w:sz w:val="20"/>
          <w:szCs w:val="20"/>
        </w:rPr>
        <w:t>Ustawa z dnia 28 lutego 2003 r. Prawo upadłościowe, zwana dalej „p.u.”</w:t>
      </w:r>
    </w:p>
  </w:footnote>
  <w:footnote w:id="2">
    <w:p w14:paraId="009B092A" w14:textId="3007B3F6" w:rsidR="009813F3" w:rsidRPr="009813F3" w:rsidRDefault="009813F3">
      <w:pPr>
        <w:pStyle w:val="Tekstprzypisudolnego"/>
        <w:rPr>
          <w:sz w:val="20"/>
          <w:szCs w:val="20"/>
        </w:rPr>
      </w:pPr>
      <w:r w:rsidRPr="009813F3">
        <w:rPr>
          <w:rStyle w:val="Odwoanieprzypisudolnego"/>
          <w:sz w:val="20"/>
          <w:szCs w:val="20"/>
        </w:rPr>
        <w:footnoteRef/>
      </w:r>
      <w:r w:rsidRPr="009813F3">
        <w:rPr>
          <w:sz w:val="20"/>
          <w:szCs w:val="20"/>
        </w:rPr>
        <w:t xml:space="preserve"> </w:t>
      </w:r>
      <w:r w:rsidR="005C216F" w:rsidRPr="005C216F">
        <w:rPr>
          <w:sz w:val="20"/>
          <w:szCs w:val="20"/>
        </w:rPr>
        <w:t>Ustawa z dnia 15 maja 2015 r. Prawo restrukturyzacyjne (</w:t>
      </w:r>
      <w:proofErr w:type="spellStart"/>
      <w:r w:rsidR="005C216F" w:rsidRPr="005C216F">
        <w:rPr>
          <w:sz w:val="20"/>
          <w:szCs w:val="20"/>
        </w:rPr>
        <w:t>t.j</w:t>
      </w:r>
      <w:proofErr w:type="spellEnd"/>
      <w:r w:rsidR="005C216F" w:rsidRPr="005C216F">
        <w:rPr>
          <w:sz w:val="20"/>
          <w:szCs w:val="20"/>
        </w:rPr>
        <w:t>. Dz. U. z 2017 r., poz. 1508 ze zm.)</w:t>
      </w:r>
    </w:p>
  </w:footnote>
  <w:footnote w:id="3">
    <w:p w14:paraId="24AFAC6C" w14:textId="748543D6" w:rsidR="00F31EC6" w:rsidRPr="00F31EC6" w:rsidRDefault="00F31EC6" w:rsidP="00F31EC6">
      <w:pPr>
        <w:pStyle w:val="Tekstprzypisudolnego"/>
        <w:jc w:val="both"/>
        <w:rPr>
          <w:sz w:val="20"/>
          <w:szCs w:val="20"/>
        </w:rPr>
      </w:pPr>
      <w:r w:rsidRPr="009813F3">
        <w:rPr>
          <w:rStyle w:val="Odwoanieprzypisudolnego"/>
          <w:sz w:val="20"/>
          <w:szCs w:val="20"/>
        </w:rPr>
        <w:footnoteRef/>
      </w:r>
      <w:r w:rsidRPr="009813F3">
        <w:rPr>
          <w:sz w:val="20"/>
          <w:szCs w:val="20"/>
        </w:rPr>
        <w:t xml:space="preserve"> </w:t>
      </w:r>
      <w:r w:rsidR="005C216F" w:rsidRPr="005C216F">
        <w:rPr>
          <w:sz w:val="20"/>
          <w:szCs w:val="20"/>
        </w:rPr>
        <w:t>Rozporządzenie Rady (WE) 2015/848 z dnia 20 maja 2015 r. w sprawie postępowania upadłościowego (Dz.U.UE. z 2015 r., L141)</w:t>
      </w:r>
      <w:r w:rsidR="005C216F">
        <w:rPr>
          <w:sz w:val="20"/>
          <w:szCs w:val="20"/>
        </w:rPr>
        <w:t xml:space="preserve">, </w:t>
      </w:r>
      <w:r w:rsidR="005C216F" w:rsidRPr="009813F3">
        <w:rPr>
          <w:sz w:val="20"/>
          <w:szCs w:val="20"/>
        </w:rPr>
        <w:t>zwana dalej „</w:t>
      </w:r>
      <w:r w:rsidR="005C216F">
        <w:rPr>
          <w:sz w:val="20"/>
          <w:szCs w:val="20"/>
        </w:rPr>
        <w:t>n.r.u.</w:t>
      </w:r>
      <w:r w:rsidR="005C216F" w:rsidRPr="009813F3">
        <w:rPr>
          <w:sz w:val="20"/>
          <w:szCs w:val="20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05"/>
    <w:rsid w:val="0000553E"/>
    <w:rsid w:val="0006654D"/>
    <w:rsid w:val="00111908"/>
    <w:rsid w:val="00196290"/>
    <w:rsid w:val="00225AE9"/>
    <w:rsid w:val="002852C6"/>
    <w:rsid w:val="0029422D"/>
    <w:rsid w:val="002D6596"/>
    <w:rsid w:val="0039595A"/>
    <w:rsid w:val="003E3795"/>
    <w:rsid w:val="00464078"/>
    <w:rsid w:val="004D3D24"/>
    <w:rsid w:val="004E1876"/>
    <w:rsid w:val="00506600"/>
    <w:rsid w:val="00510F64"/>
    <w:rsid w:val="005B23D1"/>
    <w:rsid w:val="005B681F"/>
    <w:rsid w:val="005C216F"/>
    <w:rsid w:val="005F095D"/>
    <w:rsid w:val="00622224"/>
    <w:rsid w:val="00632605"/>
    <w:rsid w:val="006E6A3E"/>
    <w:rsid w:val="006F69A8"/>
    <w:rsid w:val="0083099A"/>
    <w:rsid w:val="0095683A"/>
    <w:rsid w:val="009813F3"/>
    <w:rsid w:val="009D04FA"/>
    <w:rsid w:val="00A17278"/>
    <w:rsid w:val="00A37E9A"/>
    <w:rsid w:val="00A43B12"/>
    <w:rsid w:val="00A86B06"/>
    <w:rsid w:val="00B41469"/>
    <w:rsid w:val="00C00634"/>
    <w:rsid w:val="00C40348"/>
    <w:rsid w:val="00C6084F"/>
    <w:rsid w:val="00D24635"/>
    <w:rsid w:val="00F31EC6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C0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6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654D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654D"/>
  </w:style>
  <w:style w:type="character" w:styleId="Odwoanieprzypisudolnego">
    <w:name w:val="footnote reference"/>
    <w:basedOn w:val="Domylnaczcionkaakapitu"/>
    <w:uiPriority w:val="99"/>
    <w:unhideWhenUsed/>
    <w:rsid w:val="000665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04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9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290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19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D0949-CFFF-EE45-881B-BAAC9DF5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Wiktoria Trocka</cp:lastModifiedBy>
  <cp:revision>11</cp:revision>
  <dcterms:created xsi:type="dcterms:W3CDTF">2017-09-11T06:34:00Z</dcterms:created>
  <dcterms:modified xsi:type="dcterms:W3CDTF">2019-11-25T10:53:00Z</dcterms:modified>
</cp:coreProperties>
</file>