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31" w:rsidRPr="003A6203" w:rsidRDefault="003A6203">
      <w:pPr>
        <w:rPr>
          <w:b/>
          <w:u w:val="single"/>
        </w:rPr>
      </w:pPr>
      <w:r w:rsidRPr="003A6203">
        <w:rPr>
          <w:b/>
          <w:u w:val="single"/>
        </w:rPr>
        <w:t>Streszczenie rozprawy doktorskiej Mgr Marty Zwierz /</w:t>
      </w:r>
      <w:proofErr w:type="spellStart"/>
      <w:r w:rsidRPr="003A6203">
        <w:rPr>
          <w:b/>
          <w:u w:val="single"/>
        </w:rPr>
        <w:t>j.polski</w:t>
      </w:r>
      <w:proofErr w:type="spellEnd"/>
      <w:r w:rsidRPr="003A6203">
        <w:rPr>
          <w:b/>
          <w:u w:val="single"/>
        </w:rPr>
        <w:t xml:space="preserve">/ </w:t>
      </w:r>
      <w:proofErr w:type="spellStart"/>
      <w:r w:rsidRPr="003A6203">
        <w:rPr>
          <w:b/>
          <w:u w:val="single"/>
        </w:rPr>
        <w:t>pt</w:t>
      </w:r>
      <w:proofErr w:type="spellEnd"/>
      <w:r w:rsidRPr="003A6203">
        <w:rPr>
          <w:b/>
          <w:u w:val="single"/>
        </w:rPr>
        <w:t xml:space="preserve">: ,, Zakaz </w:t>
      </w:r>
      <w:proofErr w:type="spellStart"/>
      <w:r w:rsidRPr="003A6203">
        <w:rPr>
          <w:b/>
          <w:u w:val="single"/>
        </w:rPr>
        <w:t>ne</w:t>
      </w:r>
      <w:proofErr w:type="spellEnd"/>
      <w:r w:rsidRPr="003A6203">
        <w:rPr>
          <w:b/>
          <w:u w:val="single"/>
        </w:rPr>
        <w:t xml:space="preserve"> bis in </w:t>
      </w:r>
      <w:proofErr w:type="spellStart"/>
      <w:r w:rsidRPr="003A6203">
        <w:rPr>
          <w:b/>
          <w:u w:val="single"/>
        </w:rPr>
        <w:t>idem</w:t>
      </w:r>
      <w:proofErr w:type="spellEnd"/>
      <w:r w:rsidRPr="003A6203">
        <w:rPr>
          <w:b/>
          <w:u w:val="single"/>
        </w:rPr>
        <w:t xml:space="preserve"> w prawie administracyjnym”</w:t>
      </w:r>
    </w:p>
    <w:p w:rsidR="003A6203" w:rsidRDefault="003A6203"/>
    <w:p w:rsidR="003A6203" w:rsidRDefault="003A6203">
      <w:bookmarkStart w:id="0" w:name="_GoBack"/>
      <w:bookmarkEnd w:id="0"/>
    </w:p>
    <w:p w:rsidR="003A6203" w:rsidRDefault="003A6203" w:rsidP="003A6203">
      <w:pPr>
        <w:spacing w:line="360" w:lineRule="auto"/>
        <w:ind w:firstLine="709"/>
        <w:jc w:val="both"/>
      </w:pPr>
      <w:r w:rsidRPr="006449E6">
        <w:t xml:space="preserve">Przedmiotem </w:t>
      </w:r>
      <w:r>
        <w:t xml:space="preserve">rozprawy doktorskiej jest zakaz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</w:t>
      </w:r>
      <w:r w:rsidRPr="006449E6">
        <w:rPr>
          <w:i/>
        </w:rPr>
        <w:t xml:space="preserve"> in</w:t>
      </w:r>
      <w:r>
        <w:rPr>
          <w:i/>
        </w:rPr>
        <w:t xml:space="preserve"> </w:t>
      </w:r>
      <w:proofErr w:type="spellStart"/>
      <w:r>
        <w:rPr>
          <w:i/>
        </w:rPr>
        <w:t>idem</w:t>
      </w:r>
      <w:proofErr w:type="spellEnd"/>
      <w:r>
        <w:t xml:space="preserve"> w prawie administracy</w:t>
      </w:r>
      <w:r>
        <w:t>j</w:t>
      </w:r>
      <w:r>
        <w:t xml:space="preserve">nym. Autor zakłada, że zakaz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>nie dotyczy już wyłącznie norm prawa karnego, ale ma charakter dyrektywy ogólnosystemowej, a więc posiadającej w pewnym sensie zn</w:t>
      </w:r>
      <w:r>
        <w:t>a</w:t>
      </w:r>
      <w:r>
        <w:t>czenie także z punktu widzenia norm prawa administracyjnego. Sama rozprawa doktorska składa się z pięciu rozdziałów poprzedzonych uwagami wstępnymi i zakończonych wniosk</w:t>
      </w:r>
      <w:r>
        <w:t>a</w:t>
      </w:r>
      <w:r>
        <w:t>mi. Autor stosuje formalno-dogmatyczną metodę badawczą.</w:t>
      </w:r>
    </w:p>
    <w:p w:rsidR="003A6203" w:rsidRDefault="003A6203" w:rsidP="003A6203">
      <w:pPr>
        <w:spacing w:line="360" w:lineRule="auto"/>
        <w:ind w:firstLine="709"/>
        <w:jc w:val="both"/>
      </w:pPr>
      <w:r>
        <w:t xml:space="preserve">W pierwszym rozdziale rozważa poszczególne aspekty obowiązywania zakazu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>w prawie karnym. Autor udowadnia również, że za sprawą norm prawa międzynar</w:t>
      </w:r>
      <w:r>
        <w:t>o</w:t>
      </w:r>
      <w:r>
        <w:t xml:space="preserve">dowego doszło do uwolnienia zakazu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 xml:space="preserve">spod reżimu prawa karnego. </w:t>
      </w:r>
    </w:p>
    <w:p w:rsidR="003A6203" w:rsidRDefault="003A6203" w:rsidP="003A6203">
      <w:pPr>
        <w:spacing w:line="360" w:lineRule="auto"/>
        <w:ind w:firstLine="709"/>
        <w:jc w:val="both"/>
      </w:pPr>
      <w:r>
        <w:t xml:space="preserve">W drugim rozdziale zwraca uwagę na specyficzną konstrukcję zakazu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 xml:space="preserve">jako zasady konstytucyjnej. W tym ujęciu autor stara się określić, czy posiada on charakter wiążący ustawodawcę i organy stosujące prawo. Istotne znaczenie z punktu widzenia autora ma także określenie, czy zakaz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>wpisuje się do kręgu publicznych praw podmi</w:t>
      </w:r>
      <w:r>
        <w:t>o</w:t>
      </w:r>
      <w:r>
        <w:t xml:space="preserve">towych, czy w dalszym ciągu jest jedynie uzasadnionym oczekiwaniem obywateli. Autor zwraca uwagę na wyraźny podział materii prawnej w obszarze stosowania zakazu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 xml:space="preserve">na poziomie konstytucyjnym na dwie sfery: karania i sankcjonowania. </w:t>
      </w:r>
    </w:p>
    <w:p w:rsidR="003A6203" w:rsidRDefault="003A6203" w:rsidP="003A6203">
      <w:pPr>
        <w:spacing w:line="360" w:lineRule="auto"/>
        <w:ind w:firstLine="709"/>
        <w:jc w:val="both"/>
      </w:pPr>
      <w:r>
        <w:t xml:space="preserve">Punktem wyjścia dla rozważań prowadzonych w trzecim rozdziale jest uznanie, iż na zakres obowiązywania zakazu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>w prawie administracyjnym wpływa orzeczni</w:t>
      </w:r>
      <w:r>
        <w:t>c</w:t>
      </w:r>
      <w:r>
        <w:t>two Trybunału Konstytucyjnego. Autor podejmuje się zatem ustalenia za sprawą jakich r</w:t>
      </w:r>
      <w:r>
        <w:t>o</w:t>
      </w:r>
      <w:r>
        <w:t xml:space="preserve">dzajów sankcji administracyjnych obywatele mogą domagać się ochrony prawnej. </w:t>
      </w:r>
    </w:p>
    <w:p w:rsidR="003A6203" w:rsidRDefault="003A6203" w:rsidP="003A6203">
      <w:pPr>
        <w:spacing w:line="360" w:lineRule="auto"/>
        <w:ind w:firstLine="709"/>
        <w:jc w:val="both"/>
      </w:pPr>
      <w:r>
        <w:t xml:space="preserve">W czwartym rozdziale zwraca uwagę na to, że w obszarze prawa materialnego walor ochronny zakazu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>ogranicza się wyłącznie do niektórych z wielu możliwych wariantów zbiegu sankcji prawnych. Autor stoi na straży przekonania, zgodnie z którym z</w:t>
      </w:r>
      <w:r>
        <w:t>a</w:t>
      </w:r>
      <w:r>
        <w:t xml:space="preserve">kres obowiązywania zakazu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>znajduje swoje uzasadnienie w aksjologii prawa administracyjnego. Wskazuje zatem na granicę wyznaczoną przez ustawodawcę pomiędzy typowymi środkami policji administracyjnej a środkami przymusu administracyjnego i san</w:t>
      </w:r>
      <w:r>
        <w:t>k</w:t>
      </w:r>
      <w:r>
        <w:t>cjami prawnymi polegającymi na pozbawieniu lub ograniczeniu określonych kategorii uprawnień. Rozważa zarazem jej zgodność w świetle klauzuli interesu publicznego oraz ko</w:t>
      </w:r>
      <w:r>
        <w:t>n</w:t>
      </w:r>
      <w:r>
        <w:t>stytucyjnego wymogu proporcjonalności reakcji prawnej na naruszenie obowiązku prawnego.</w:t>
      </w:r>
    </w:p>
    <w:p w:rsidR="003A6203" w:rsidRPr="004A43DE" w:rsidRDefault="003A6203" w:rsidP="003A6203">
      <w:pPr>
        <w:spacing w:line="360" w:lineRule="auto"/>
        <w:ind w:firstLine="709"/>
        <w:jc w:val="both"/>
      </w:pPr>
      <w:r>
        <w:lastRenderedPageBreak/>
        <w:t xml:space="preserve">Piąty rozdział dotyczy proceduralnego aspektu zakazu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>w prawie adm</w:t>
      </w:r>
      <w:r>
        <w:t>i</w:t>
      </w:r>
      <w:r>
        <w:t>nistracyjnym. Autor zakłada, że w tym ujęciu jest on ściśle powiązany z przesłanką proces</w:t>
      </w:r>
      <w:r>
        <w:t>o</w:t>
      </w:r>
      <w:r>
        <w:t xml:space="preserve">wą </w:t>
      </w:r>
      <w:r>
        <w:rPr>
          <w:i/>
        </w:rPr>
        <w:t>res iudicata</w:t>
      </w:r>
      <w:r>
        <w:t>. Zmierza zatem do wykazania, że ma on znaczenie nie tylko na etapie post</w:t>
      </w:r>
      <w:r>
        <w:t>ę</w:t>
      </w:r>
      <w:r>
        <w:t xml:space="preserve">powania </w:t>
      </w:r>
      <w:proofErr w:type="spellStart"/>
      <w:r>
        <w:t>sądowoadministracyjnego</w:t>
      </w:r>
      <w:proofErr w:type="spellEnd"/>
      <w:r>
        <w:t xml:space="preserve">, ale urzeczywistnia ideę niesioną za pomocą zakazu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rPr>
          <w:i/>
        </w:rPr>
        <w:t xml:space="preserve"> </w:t>
      </w:r>
      <w:r>
        <w:t>już na drodze ogólnego postępowania administracyjnego. W tym rozdziale a</w:t>
      </w:r>
      <w:r>
        <w:t>u</w:t>
      </w:r>
      <w:r>
        <w:t>tor stara się dodatkowo udzielić odpowiedzi na pytanie, czy instytucja zagadnienia wstępnego i Ro</w:t>
      </w:r>
      <w:r>
        <w:t>z</w:t>
      </w:r>
      <w:r>
        <w:t xml:space="preserve">strzygnięcia tymczasowe mają istotne znaczenie z punktu widzenia zakazu </w:t>
      </w:r>
      <w:proofErr w:type="spellStart"/>
      <w:r>
        <w:rPr>
          <w:i/>
        </w:rPr>
        <w:t>ne</w:t>
      </w:r>
      <w:proofErr w:type="spellEnd"/>
      <w:r>
        <w:rPr>
          <w:i/>
        </w:rPr>
        <w:t xml:space="preserve"> bis in </w:t>
      </w:r>
      <w:proofErr w:type="spellStart"/>
      <w:r>
        <w:rPr>
          <w:i/>
        </w:rPr>
        <w:t>idem</w:t>
      </w:r>
      <w:proofErr w:type="spellEnd"/>
      <w:r>
        <w:t xml:space="preserve">. </w:t>
      </w:r>
    </w:p>
    <w:p w:rsidR="003A6203" w:rsidRPr="006449E6" w:rsidRDefault="003A6203" w:rsidP="003A6203">
      <w:pPr>
        <w:spacing w:line="360" w:lineRule="auto"/>
        <w:rPr>
          <w:b/>
          <w:sz w:val="26"/>
          <w:szCs w:val="26"/>
        </w:rPr>
      </w:pPr>
    </w:p>
    <w:p w:rsidR="003A6203" w:rsidRDefault="003A6203"/>
    <w:sectPr w:rsidR="003A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03"/>
    <w:rsid w:val="003A6203"/>
    <w:rsid w:val="004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680B7-C151-4812-A317-E24BAC93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Lenarczyk</dc:creator>
  <cp:keywords/>
  <dc:description/>
  <cp:lastModifiedBy>Maria Lenarczyk</cp:lastModifiedBy>
  <cp:revision>1</cp:revision>
  <dcterms:created xsi:type="dcterms:W3CDTF">2019-10-15T07:28:00Z</dcterms:created>
  <dcterms:modified xsi:type="dcterms:W3CDTF">2019-10-15T07:31:00Z</dcterms:modified>
</cp:coreProperties>
</file>