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D1EC" w14:textId="2EDCA309" w:rsidR="007A5D54" w:rsidRPr="00AC62C8" w:rsidRDefault="007A5D54" w:rsidP="007A5D54">
      <w:pPr>
        <w:jc w:val="center"/>
        <w:rPr>
          <w:rFonts w:ascii="Garamond" w:hAnsi="Garamond"/>
          <w:b/>
          <w:sz w:val="28"/>
          <w:szCs w:val="28"/>
          <w:lang w:val="pl-PL"/>
        </w:rPr>
      </w:pPr>
      <w:r w:rsidRPr="00AC62C8">
        <w:rPr>
          <w:rFonts w:ascii="Garamond" w:hAnsi="Garamond"/>
          <w:b/>
          <w:sz w:val="28"/>
          <w:szCs w:val="28"/>
          <w:lang w:val="pl-PL"/>
        </w:rPr>
        <w:t xml:space="preserve">Konspekt do wykładu pt. „Pomoc publiczna dla </w:t>
      </w:r>
      <w:r w:rsidR="00AC62C8">
        <w:rPr>
          <w:rFonts w:ascii="Garamond" w:hAnsi="Garamond"/>
          <w:b/>
          <w:sz w:val="28"/>
          <w:szCs w:val="28"/>
          <w:lang w:val="pl-PL"/>
        </w:rPr>
        <w:t>spółek</w:t>
      </w:r>
      <w:r w:rsidRPr="00AC62C8">
        <w:rPr>
          <w:rFonts w:ascii="Garamond" w:hAnsi="Garamond"/>
          <w:b/>
          <w:sz w:val="28"/>
          <w:szCs w:val="28"/>
          <w:lang w:val="pl-PL"/>
        </w:rPr>
        <w:t xml:space="preserve">“ </w:t>
      </w:r>
    </w:p>
    <w:p w14:paraId="2B81143E" w14:textId="77777777" w:rsidR="00520531" w:rsidRPr="00AC62C8" w:rsidRDefault="007A5D54" w:rsidP="007A5D54">
      <w:pPr>
        <w:jc w:val="center"/>
        <w:rPr>
          <w:rFonts w:ascii="Garamond" w:hAnsi="Garamond"/>
          <w:b/>
          <w:sz w:val="28"/>
          <w:szCs w:val="28"/>
          <w:lang w:val="pl-PL"/>
        </w:rPr>
      </w:pPr>
      <w:r w:rsidRPr="00AC62C8">
        <w:rPr>
          <w:rFonts w:ascii="Garamond" w:hAnsi="Garamond"/>
          <w:b/>
          <w:sz w:val="28"/>
          <w:szCs w:val="28"/>
          <w:lang w:val="pl-PL"/>
        </w:rPr>
        <w:t>dla Studentów PS Prawa Spółek</w:t>
      </w:r>
    </w:p>
    <w:p w14:paraId="11F24945" w14:textId="77777777" w:rsidR="007A5D54" w:rsidRPr="00AC62C8" w:rsidRDefault="007A5D54" w:rsidP="007A5D54">
      <w:pPr>
        <w:jc w:val="center"/>
        <w:rPr>
          <w:rFonts w:ascii="Garamond" w:hAnsi="Garamond"/>
          <w:b/>
          <w:sz w:val="28"/>
          <w:szCs w:val="28"/>
          <w:lang w:val="pl-PL"/>
        </w:rPr>
      </w:pPr>
      <w:r w:rsidRPr="00AC62C8">
        <w:rPr>
          <w:rFonts w:ascii="Garamond" w:hAnsi="Garamond"/>
          <w:b/>
          <w:sz w:val="28"/>
          <w:szCs w:val="28"/>
          <w:lang w:val="pl-PL"/>
        </w:rPr>
        <w:t>dr Magdalena Śliwa-Wajda</w:t>
      </w:r>
    </w:p>
    <w:p w14:paraId="16F19F21" w14:textId="5FF1C34C" w:rsidR="007A5D54" w:rsidRPr="007A5D54" w:rsidRDefault="00D106F3" w:rsidP="007A5D5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</w:t>
      </w:r>
      <w:r w:rsidR="003E705F">
        <w:rPr>
          <w:rFonts w:ascii="Garamond" w:hAnsi="Garamond"/>
          <w:b/>
          <w:sz w:val="28"/>
          <w:szCs w:val="28"/>
        </w:rPr>
        <w:t xml:space="preserve">8 </w:t>
      </w:r>
      <w:proofErr w:type="spellStart"/>
      <w:r w:rsidR="003E705F">
        <w:rPr>
          <w:rFonts w:ascii="Garamond" w:hAnsi="Garamond"/>
          <w:b/>
          <w:sz w:val="28"/>
          <w:szCs w:val="28"/>
        </w:rPr>
        <w:t>luty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r w:rsidR="007A5D54" w:rsidRPr="007A5D54">
        <w:rPr>
          <w:rFonts w:ascii="Garamond" w:hAnsi="Garamond"/>
          <w:b/>
          <w:sz w:val="28"/>
          <w:szCs w:val="28"/>
        </w:rPr>
        <w:t>20</w:t>
      </w:r>
      <w:r w:rsidR="007849D9">
        <w:rPr>
          <w:rFonts w:ascii="Garamond" w:hAnsi="Garamond"/>
          <w:b/>
          <w:sz w:val="28"/>
          <w:szCs w:val="28"/>
        </w:rPr>
        <w:t>2</w:t>
      </w:r>
      <w:r w:rsidR="003E705F">
        <w:rPr>
          <w:rFonts w:ascii="Garamond" w:hAnsi="Garamond"/>
          <w:b/>
          <w:sz w:val="28"/>
          <w:szCs w:val="28"/>
        </w:rPr>
        <w:t>6</w:t>
      </w:r>
      <w:r w:rsidR="007A5D54" w:rsidRPr="007A5D54">
        <w:rPr>
          <w:rFonts w:ascii="Garamond" w:hAnsi="Garamond"/>
          <w:b/>
          <w:sz w:val="28"/>
          <w:szCs w:val="28"/>
        </w:rPr>
        <w:t xml:space="preserve"> r.</w:t>
      </w:r>
    </w:p>
    <w:p w14:paraId="4E727E45" w14:textId="77777777" w:rsidR="007A5D54" w:rsidRPr="007A5D54" w:rsidRDefault="007A5D54" w:rsidP="007A5D54">
      <w:pPr>
        <w:jc w:val="center"/>
        <w:rPr>
          <w:rFonts w:ascii="Garamond" w:hAnsi="Garamond"/>
          <w:b/>
          <w:sz w:val="28"/>
          <w:szCs w:val="28"/>
        </w:rPr>
      </w:pPr>
    </w:p>
    <w:p w14:paraId="1962E945" w14:textId="77777777" w:rsidR="007A5D54" w:rsidRPr="007A5D54" w:rsidRDefault="007A5D54" w:rsidP="007A5D54">
      <w:pPr>
        <w:pStyle w:val="Akapitzlist"/>
        <w:numPr>
          <w:ilvl w:val="0"/>
          <w:numId w:val="3"/>
        </w:numPr>
        <w:spacing w:after="160" w:line="259" w:lineRule="auto"/>
        <w:rPr>
          <w:rFonts w:ascii="Garamond" w:eastAsia="Calibri" w:hAnsi="Garamond"/>
          <w:b/>
          <w:lang w:val="pl-PL" w:eastAsia="en-US"/>
        </w:rPr>
      </w:pPr>
      <w:r w:rsidRPr="007A5D54">
        <w:rPr>
          <w:rFonts w:ascii="Garamond" w:eastAsia="Calibri" w:hAnsi="Garamond"/>
          <w:b/>
          <w:lang w:val="pl-PL" w:eastAsia="en-US"/>
        </w:rPr>
        <w:t>Ogólne zasady prawa pomocy publicznej w świetle przepisów prawa Unii Europejskiej – aspekty materialnoprawne</w:t>
      </w:r>
    </w:p>
    <w:p w14:paraId="029BCB7F" w14:textId="77777777" w:rsidR="007A5D54" w:rsidRPr="00FF589B" w:rsidRDefault="007A5D54" w:rsidP="007A5D54">
      <w:pPr>
        <w:numPr>
          <w:ilvl w:val="0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Rola i znaczenie pomocy publicznej jako instrumentu ekonomicznego</w:t>
      </w:r>
    </w:p>
    <w:p w14:paraId="2DDA68EE" w14:textId="77777777" w:rsidR="007A5D54" w:rsidRPr="00FF589B" w:rsidRDefault="007A5D54" w:rsidP="007A5D54">
      <w:pPr>
        <w:numPr>
          <w:ilvl w:val="0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Rola i znaczenie pomocy publicznej jako instytucji prawa</w:t>
      </w:r>
    </w:p>
    <w:p w14:paraId="2EF8493B" w14:textId="77777777" w:rsidR="007A5D54" w:rsidRPr="00FF589B" w:rsidRDefault="007A5D54" w:rsidP="007A5D54">
      <w:pPr>
        <w:numPr>
          <w:ilvl w:val="0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System źródeł prawa pomocy publicznej </w:t>
      </w:r>
    </w:p>
    <w:p w14:paraId="061E33F4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Prawo Unii Europejskiej</w:t>
      </w:r>
    </w:p>
    <w:p w14:paraId="4FBBD11C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Prawo krajowe</w:t>
      </w:r>
    </w:p>
    <w:p w14:paraId="73520539" w14:textId="77777777" w:rsidR="007A5D54" w:rsidRPr="00FF589B" w:rsidRDefault="007A5D54" w:rsidP="007A5D54">
      <w:pPr>
        <w:numPr>
          <w:ilvl w:val="0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Pojęcie pomocy publicznej i ogólny zakaz jej przyznawania</w:t>
      </w:r>
    </w:p>
    <w:p w14:paraId="2C9F44AF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Przesłanki stwierdzenia istnienia pomocy publicznej </w:t>
      </w:r>
    </w:p>
    <w:p w14:paraId="751AB37B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 Pochodzenie od państwa lub z zasobów państwowych  </w:t>
      </w:r>
    </w:p>
    <w:p w14:paraId="1C646195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 Przysporzenie korzyści i Test Prywatnego Inwestora</w:t>
      </w:r>
    </w:p>
    <w:p w14:paraId="52005A2F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Selektywność</w:t>
      </w:r>
    </w:p>
    <w:p w14:paraId="72909ABB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Kryteria uznania pomocy za niezgodną z rynkiem wewnętrznym</w:t>
      </w:r>
    </w:p>
    <w:p w14:paraId="308CFA16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Zakłócenie lub groźba zakłócenia konkurencji</w:t>
      </w:r>
    </w:p>
    <w:p w14:paraId="2B62E51A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Wpływ na wymianę handlową między Państwami Członkowskimi</w:t>
      </w:r>
    </w:p>
    <w:p w14:paraId="0BFBD863" w14:textId="77777777" w:rsidR="007A5D54" w:rsidRPr="00FF589B" w:rsidRDefault="007A5D54" w:rsidP="00FF589B">
      <w:pPr>
        <w:numPr>
          <w:ilvl w:val="0"/>
          <w:numId w:val="1"/>
        </w:numPr>
        <w:spacing w:after="160" w:line="276" w:lineRule="auto"/>
        <w:ind w:firstLine="142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Wyjątki od generalnego zakazu przyznawania pomocy publicznej</w:t>
      </w:r>
    </w:p>
    <w:p w14:paraId="57A8FB72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Pomoc dopuszczalna ipso iure </w:t>
      </w:r>
    </w:p>
    <w:p w14:paraId="08C32813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Pojęcie pomocy horyzontalnej i sektorowej</w:t>
      </w:r>
    </w:p>
    <w:p w14:paraId="41E50458" w14:textId="77777777" w:rsidR="007A5D54" w:rsidRPr="00FF589B" w:rsidRDefault="007A5D54" w:rsidP="007A5D54">
      <w:pPr>
        <w:numPr>
          <w:ilvl w:val="2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Pojęcie pomocy </w:t>
      </w:r>
      <w:r w:rsidRPr="00FF589B">
        <w:rPr>
          <w:rFonts w:ascii="Garamond" w:eastAsia="Calibri" w:hAnsi="Garamond"/>
          <w:bCs/>
          <w:i/>
          <w:sz w:val="23"/>
          <w:szCs w:val="23"/>
          <w:lang w:val="pl-PL" w:eastAsia="en-US"/>
        </w:rPr>
        <w:t xml:space="preserve">de </w:t>
      </w:r>
      <w:proofErr w:type="spellStart"/>
      <w:r w:rsidRPr="00FF589B">
        <w:rPr>
          <w:rFonts w:ascii="Garamond" w:eastAsia="Calibri" w:hAnsi="Garamond"/>
          <w:bCs/>
          <w:i/>
          <w:sz w:val="23"/>
          <w:szCs w:val="23"/>
          <w:lang w:val="pl-PL" w:eastAsia="en-US"/>
        </w:rPr>
        <w:t>minimis</w:t>
      </w:r>
      <w:proofErr w:type="spellEnd"/>
    </w:p>
    <w:p w14:paraId="09E47A97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>Pomoc dopuszczalna na mocy decyzji Komisji Europejskiej</w:t>
      </w:r>
    </w:p>
    <w:p w14:paraId="1D3FA56F" w14:textId="77777777" w:rsidR="007A5D54" w:rsidRPr="00FF589B" w:rsidRDefault="007A5D54" w:rsidP="007A5D54">
      <w:pPr>
        <w:numPr>
          <w:ilvl w:val="1"/>
          <w:numId w:val="1"/>
        </w:numPr>
        <w:spacing w:after="160" w:line="276" w:lineRule="auto"/>
        <w:contextualSpacing/>
        <w:rPr>
          <w:rFonts w:ascii="Garamond" w:eastAsia="Calibri" w:hAnsi="Garamond"/>
          <w:bCs/>
          <w:sz w:val="23"/>
          <w:szCs w:val="23"/>
          <w:lang w:val="pl-PL" w:eastAsia="en-US"/>
        </w:rPr>
      </w:pPr>
      <w:r w:rsidRPr="00FF589B">
        <w:rPr>
          <w:rFonts w:ascii="Garamond" w:eastAsia="Calibri" w:hAnsi="Garamond"/>
          <w:bCs/>
          <w:sz w:val="23"/>
          <w:szCs w:val="23"/>
          <w:lang w:val="pl-PL" w:eastAsia="en-US"/>
        </w:rPr>
        <w:t xml:space="preserve">Wyjątki ustanowione na mocy odrębnych przepisów  </w:t>
      </w:r>
    </w:p>
    <w:p w14:paraId="2DBA5E1B" w14:textId="77777777" w:rsidR="007A5D54" w:rsidRPr="007A5D54" w:rsidRDefault="007A5D54" w:rsidP="007A5D54">
      <w:pPr>
        <w:pStyle w:val="Akapitzlist"/>
        <w:numPr>
          <w:ilvl w:val="0"/>
          <w:numId w:val="3"/>
        </w:numPr>
        <w:spacing w:after="160" w:line="259" w:lineRule="auto"/>
        <w:rPr>
          <w:rFonts w:ascii="Garamond" w:eastAsia="Calibri" w:hAnsi="Garamond"/>
          <w:b/>
          <w:bCs/>
          <w:lang w:val="pl-PL" w:eastAsia="en-US"/>
        </w:rPr>
      </w:pPr>
      <w:r w:rsidRPr="007A5D54">
        <w:rPr>
          <w:rFonts w:ascii="Garamond" w:eastAsia="Calibri" w:hAnsi="Garamond"/>
          <w:b/>
          <w:bCs/>
          <w:lang w:val="pl-PL" w:eastAsia="en-US"/>
        </w:rPr>
        <w:t>Ogólne zasady postępowania w zakresie nadzoru nad przyznawaniem pomocy państwa w świetle przepisów unijnych oraz krajowych</w:t>
      </w:r>
    </w:p>
    <w:p w14:paraId="61B8EFEC" w14:textId="77777777" w:rsidR="007A5D54" w:rsidRDefault="007A5D54" w:rsidP="00FF589B">
      <w:pPr>
        <w:pStyle w:val="Akapitzlist"/>
        <w:spacing w:after="160"/>
        <w:ind w:left="792"/>
        <w:rPr>
          <w:rFonts w:ascii="Garamond" w:eastAsia="Calibri" w:hAnsi="Garamond"/>
          <w:bCs/>
          <w:lang w:val="pl-PL" w:eastAsia="en-US"/>
        </w:rPr>
      </w:pPr>
    </w:p>
    <w:p w14:paraId="0ED920D5" w14:textId="77777777" w:rsidR="007A5D54" w:rsidRDefault="007A5D54" w:rsidP="007A5D54">
      <w:pPr>
        <w:pStyle w:val="Akapitzlist"/>
        <w:numPr>
          <w:ilvl w:val="1"/>
          <w:numId w:val="2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Pozycja Komisji Europejskiej i Rady w zakresie nadzoru nad udzielaniem pomocy państwa</w:t>
      </w:r>
    </w:p>
    <w:p w14:paraId="3ACD34AA" w14:textId="77777777" w:rsidR="007A5D54" w:rsidRDefault="007A5D54" w:rsidP="007A5D54">
      <w:pPr>
        <w:pStyle w:val="Akapitzlist"/>
        <w:numPr>
          <w:ilvl w:val="1"/>
          <w:numId w:val="2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Zasada autonomii proceduralnej państw członkowskich w sprawach z zakresu pomocy publicznej</w:t>
      </w:r>
    </w:p>
    <w:p w14:paraId="6D6A3AD1" w14:textId="77777777" w:rsidR="007A5D54" w:rsidRDefault="007A5D54" w:rsidP="007A5D54">
      <w:pPr>
        <w:pStyle w:val="Akapitzlist"/>
        <w:numPr>
          <w:ilvl w:val="1"/>
          <w:numId w:val="2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 xml:space="preserve">Pomoc indywidualna </w:t>
      </w:r>
      <w:r w:rsidRPr="007A5D54">
        <w:rPr>
          <w:rFonts w:ascii="Garamond" w:eastAsia="Calibri" w:hAnsi="Garamond"/>
          <w:bCs/>
          <w:i/>
          <w:lang w:val="pl-PL" w:eastAsia="en-US"/>
        </w:rPr>
        <w:t>versus</w:t>
      </w:r>
      <w:r w:rsidRPr="007A5D54">
        <w:rPr>
          <w:rFonts w:ascii="Garamond" w:eastAsia="Calibri" w:hAnsi="Garamond"/>
          <w:bCs/>
          <w:lang w:val="pl-PL" w:eastAsia="en-US"/>
        </w:rPr>
        <w:t xml:space="preserve"> program pomocowy. </w:t>
      </w:r>
    </w:p>
    <w:p w14:paraId="1F5F54B2" w14:textId="77777777" w:rsidR="007A5D54" w:rsidRDefault="007A5D54" w:rsidP="007A5D54">
      <w:pPr>
        <w:pStyle w:val="Akapitzlist"/>
        <w:numPr>
          <w:ilvl w:val="1"/>
          <w:numId w:val="2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Obowiązek i procedura notyfikacji</w:t>
      </w:r>
    </w:p>
    <w:p w14:paraId="2740F261" w14:textId="77777777" w:rsidR="007A5D54" w:rsidRPr="007A5D54" w:rsidRDefault="007A5D54" w:rsidP="007A5D54">
      <w:pPr>
        <w:pStyle w:val="Akapitzlist"/>
        <w:numPr>
          <w:ilvl w:val="1"/>
          <w:numId w:val="4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Badanie wstępne</w:t>
      </w:r>
    </w:p>
    <w:p w14:paraId="019F322F" w14:textId="77777777" w:rsidR="007A5D54" w:rsidRDefault="007A5D54" w:rsidP="007A5D54">
      <w:pPr>
        <w:pStyle w:val="Akapitzlist"/>
        <w:numPr>
          <w:ilvl w:val="1"/>
          <w:numId w:val="4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Procedura formalnego dochodzenia</w:t>
      </w:r>
    </w:p>
    <w:p w14:paraId="5354D85D" w14:textId="77777777" w:rsidR="007A5D54" w:rsidRDefault="007A5D54" w:rsidP="00FF589B">
      <w:pPr>
        <w:pStyle w:val="Akapitzlist"/>
        <w:numPr>
          <w:ilvl w:val="0"/>
          <w:numId w:val="4"/>
        </w:numPr>
        <w:spacing w:after="160" w:line="276" w:lineRule="auto"/>
        <w:ind w:firstLine="66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 xml:space="preserve">Procedura uproszczona i </w:t>
      </w:r>
      <w:proofErr w:type="spellStart"/>
      <w:r w:rsidRPr="007A5D54">
        <w:rPr>
          <w:rFonts w:ascii="Garamond" w:eastAsia="Calibri" w:hAnsi="Garamond"/>
          <w:bCs/>
          <w:lang w:val="pl-PL" w:eastAsia="en-US"/>
        </w:rPr>
        <w:t>prenotyfikacja</w:t>
      </w:r>
      <w:proofErr w:type="spellEnd"/>
      <w:r w:rsidRPr="007A5D54">
        <w:rPr>
          <w:rFonts w:ascii="Garamond" w:eastAsia="Calibri" w:hAnsi="Garamond"/>
          <w:bCs/>
          <w:lang w:val="pl-PL" w:eastAsia="en-US"/>
        </w:rPr>
        <w:t xml:space="preserve"> </w:t>
      </w:r>
    </w:p>
    <w:p w14:paraId="78FD56D4" w14:textId="77777777" w:rsidR="007A5D54" w:rsidRDefault="007A5D54" w:rsidP="00FF589B">
      <w:pPr>
        <w:pStyle w:val="Akapitzlist"/>
        <w:numPr>
          <w:ilvl w:val="0"/>
          <w:numId w:val="4"/>
        </w:numPr>
        <w:spacing w:after="160" w:line="276" w:lineRule="auto"/>
        <w:ind w:firstLine="66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 xml:space="preserve">Reguły </w:t>
      </w:r>
      <w:r>
        <w:rPr>
          <w:rFonts w:ascii="Garamond" w:eastAsia="Calibri" w:hAnsi="Garamond"/>
          <w:bCs/>
          <w:lang w:val="pl-PL" w:eastAsia="en-US"/>
        </w:rPr>
        <w:t xml:space="preserve">postępowania w zakresie kontroli i nadzoru nad przyznawaniem pomocy państwa </w:t>
      </w:r>
      <w:r w:rsidRPr="007A5D54">
        <w:rPr>
          <w:rFonts w:ascii="Garamond" w:eastAsia="Calibri" w:hAnsi="Garamond"/>
          <w:bCs/>
          <w:lang w:val="pl-PL" w:eastAsia="en-US"/>
        </w:rPr>
        <w:t xml:space="preserve">określone w prawie krajowym </w:t>
      </w:r>
    </w:p>
    <w:p w14:paraId="29F8EFAA" w14:textId="77777777" w:rsidR="007A5D54" w:rsidRDefault="007A5D54" w:rsidP="007A5D54">
      <w:pPr>
        <w:pStyle w:val="Akapitzlist"/>
        <w:numPr>
          <w:ilvl w:val="1"/>
          <w:numId w:val="4"/>
        </w:numPr>
        <w:spacing w:after="160" w:line="276" w:lineRule="auto"/>
        <w:rPr>
          <w:rFonts w:ascii="Garamond" w:eastAsia="Calibri" w:hAnsi="Garamond"/>
          <w:bCs/>
          <w:lang w:val="pl-PL" w:eastAsia="en-US"/>
        </w:rPr>
      </w:pPr>
      <w:r w:rsidRPr="007A5D54">
        <w:rPr>
          <w:rFonts w:ascii="Garamond" w:eastAsia="Calibri" w:hAnsi="Garamond"/>
          <w:bCs/>
          <w:lang w:val="pl-PL" w:eastAsia="en-US"/>
        </w:rPr>
        <w:t>Rola Prezesa UOKiK</w:t>
      </w:r>
      <w:r>
        <w:rPr>
          <w:rFonts w:ascii="Garamond" w:eastAsia="Calibri" w:hAnsi="Garamond"/>
          <w:bCs/>
          <w:lang w:val="pl-PL" w:eastAsia="en-US"/>
        </w:rPr>
        <w:t xml:space="preserve"> </w:t>
      </w:r>
    </w:p>
    <w:p w14:paraId="4E0F0EEB" w14:textId="77777777" w:rsidR="00FF589B" w:rsidRPr="0035028A" w:rsidRDefault="00FF589B" w:rsidP="00FF589B">
      <w:pPr>
        <w:pStyle w:val="Akapitzlist"/>
        <w:spacing w:after="160" w:line="276" w:lineRule="auto"/>
        <w:ind w:left="1440"/>
        <w:rPr>
          <w:rFonts w:ascii="Garamond" w:eastAsia="Calibri" w:hAnsi="Garamond"/>
          <w:bCs/>
          <w:lang w:val="pl-PL" w:eastAsia="en-US"/>
        </w:rPr>
      </w:pPr>
    </w:p>
    <w:p w14:paraId="32BC361F" w14:textId="77777777" w:rsidR="007A5D54" w:rsidRDefault="007A5D54" w:rsidP="007A5D54">
      <w:pPr>
        <w:pStyle w:val="Akapitzlist"/>
        <w:numPr>
          <w:ilvl w:val="0"/>
          <w:numId w:val="3"/>
        </w:numPr>
        <w:spacing w:after="160" w:line="259" w:lineRule="auto"/>
        <w:rPr>
          <w:rFonts w:ascii="Garamond" w:eastAsia="Calibri" w:hAnsi="Garamond"/>
          <w:b/>
          <w:bCs/>
          <w:lang w:val="pl-PL" w:eastAsia="en-US"/>
        </w:rPr>
      </w:pPr>
      <w:r w:rsidRPr="007A5D54">
        <w:rPr>
          <w:rFonts w:ascii="Garamond" w:eastAsia="Calibri" w:hAnsi="Garamond"/>
          <w:b/>
          <w:bCs/>
          <w:lang w:val="pl-PL" w:eastAsia="en-US"/>
        </w:rPr>
        <w:t xml:space="preserve">Analiza najciekawszych przypadków </w:t>
      </w:r>
      <w:r>
        <w:rPr>
          <w:rFonts w:ascii="Garamond" w:eastAsia="Calibri" w:hAnsi="Garamond"/>
          <w:b/>
          <w:bCs/>
          <w:lang w:val="pl-PL" w:eastAsia="en-US"/>
        </w:rPr>
        <w:t xml:space="preserve">udzielenia pomocy publicznej w UE w ostatnich latach </w:t>
      </w:r>
    </w:p>
    <w:p w14:paraId="79751A8D" w14:textId="77777777" w:rsidR="00BF590D" w:rsidRDefault="00BF590D" w:rsidP="00BF590D">
      <w:pPr>
        <w:pStyle w:val="Akapitzlist"/>
        <w:spacing w:after="160" w:line="259" w:lineRule="auto"/>
        <w:ind w:left="1080"/>
        <w:rPr>
          <w:rFonts w:ascii="Garamond" w:eastAsia="Calibri" w:hAnsi="Garamond"/>
          <w:b/>
          <w:bCs/>
          <w:lang w:val="pl-PL" w:eastAsia="en-US"/>
        </w:rPr>
      </w:pPr>
    </w:p>
    <w:p w14:paraId="787E7636" w14:textId="77777777" w:rsidR="007A5D54" w:rsidRPr="00B62D34" w:rsidRDefault="007A5D54" w:rsidP="007A5D54">
      <w:pPr>
        <w:pStyle w:val="Akapitzlist"/>
        <w:numPr>
          <w:ilvl w:val="0"/>
          <w:numId w:val="5"/>
        </w:numPr>
        <w:spacing w:after="160" w:line="259" w:lineRule="auto"/>
        <w:rPr>
          <w:rFonts w:ascii="Garamond" w:eastAsia="Calibri" w:hAnsi="Garamond"/>
          <w:bCs/>
          <w:lang w:val="pl-PL" w:eastAsia="en-US"/>
        </w:rPr>
      </w:pPr>
      <w:r w:rsidRPr="00B62D34">
        <w:rPr>
          <w:rFonts w:ascii="Garamond" w:eastAsia="Calibri" w:hAnsi="Garamond"/>
          <w:bCs/>
          <w:lang w:val="pl-PL" w:eastAsia="en-US"/>
        </w:rPr>
        <w:t xml:space="preserve">Kazus pomocy publicznej dla Apple w Irlandii. </w:t>
      </w:r>
    </w:p>
    <w:p w14:paraId="143E1B55" w14:textId="77777777" w:rsidR="00FF589B" w:rsidRPr="00B62D34" w:rsidRDefault="00FF589B" w:rsidP="007A5D54">
      <w:pPr>
        <w:pStyle w:val="Akapitzlist"/>
        <w:numPr>
          <w:ilvl w:val="0"/>
          <w:numId w:val="5"/>
        </w:numPr>
        <w:spacing w:after="160" w:line="259" w:lineRule="auto"/>
        <w:rPr>
          <w:rFonts w:ascii="Garamond" w:eastAsia="Calibri" w:hAnsi="Garamond"/>
          <w:bCs/>
          <w:lang w:val="pl-PL" w:eastAsia="en-US"/>
        </w:rPr>
      </w:pPr>
      <w:r w:rsidRPr="00B62D34">
        <w:rPr>
          <w:rFonts w:ascii="Garamond" w:eastAsia="Calibri" w:hAnsi="Garamond"/>
          <w:bCs/>
          <w:lang w:val="pl-PL" w:eastAsia="en-US"/>
        </w:rPr>
        <w:t xml:space="preserve">Podatek od sklepów wielkopowierzchniowych a pomoc publiczna. </w:t>
      </w:r>
    </w:p>
    <w:p w14:paraId="21B8090C" w14:textId="365B418F" w:rsidR="007A5D54" w:rsidRPr="00AC62C8" w:rsidRDefault="00B62D34" w:rsidP="00B62D34">
      <w:pPr>
        <w:pStyle w:val="Akapitzlist"/>
        <w:numPr>
          <w:ilvl w:val="0"/>
          <w:numId w:val="5"/>
        </w:numPr>
        <w:spacing w:after="160" w:line="259" w:lineRule="auto"/>
        <w:rPr>
          <w:rFonts w:ascii="Garamond" w:hAnsi="Garamond"/>
          <w:lang w:val="pl-PL"/>
        </w:rPr>
      </w:pPr>
      <w:r w:rsidRPr="00B62D34">
        <w:rPr>
          <w:rFonts w:ascii="Garamond" w:eastAsia="Calibri" w:hAnsi="Garamond"/>
          <w:bCs/>
          <w:lang w:val="pl-PL" w:eastAsia="en-US"/>
        </w:rPr>
        <w:t>R</w:t>
      </w:r>
      <w:r w:rsidR="00FF589B" w:rsidRPr="00B62D34">
        <w:rPr>
          <w:rFonts w:ascii="Garamond" w:eastAsia="Calibri" w:hAnsi="Garamond"/>
          <w:bCs/>
          <w:lang w:val="pl-PL" w:eastAsia="en-US"/>
        </w:rPr>
        <w:t xml:space="preserve">ekompensata dla TVP S.A. i Polskiego Radia S.A. za utracone wpływy z abonamentu. </w:t>
      </w:r>
    </w:p>
    <w:p w14:paraId="31157D1C" w14:textId="344EF006" w:rsidR="00D506E0" w:rsidRPr="00AC62C8" w:rsidRDefault="007849D9" w:rsidP="00D506E0">
      <w:pPr>
        <w:pStyle w:val="Akapitzlist"/>
        <w:numPr>
          <w:ilvl w:val="0"/>
          <w:numId w:val="5"/>
        </w:numPr>
        <w:spacing w:after="160" w:line="259" w:lineRule="auto"/>
        <w:rPr>
          <w:rFonts w:ascii="Garamond" w:hAnsi="Garamond"/>
          <w:lang w:val="pl-PL"/>
        </w:rPr>
      </w:pPr>
      <w:r w:rsidRPr="00B62D34">
        <w:rPr>
          <w:rFonts w:ascii="Garamond" w:eastAsia="Calibri" w:hAnsi="Garamond"/>
          <w:bCs/>
          <w:lang w:val="pl-PL" w:eastAsia="en-US"/>
        </w:rPr>
        <w:t xml:space="preserve">Pomoc publiczna </w:t>
      </w:r>
      <w:r w:rsidR="00324F74" w:rsidRPr="00B62D34">
        <w:rPr>
          <w:rFonts w:ascii="Garamond" w:eastAsia="Calibri" w:hAnsi="Garamond"/>
          <w:bCs/>
          <w:lang w:val="pl-PL" w:eastAsia="en-US"/>
        </w:rPr>
        <w:t>n</w:t>
      </w:r>
      <w:r w:rsidRPr="00B62D34">
        <w:rPr>
          <w:rFonts w:ascii="Garamond" w:eastAsia="Calibri" w:hAnsi="Garamond"/>
          <w:bCs/>
          <w:lang w:val="pl-PL" w:eastAsia="en-US"/>
        </w:rPr>
        <w:t>a</w:t>
      </w:r>
      <w:r w:rsidR="00324F74" w:rsidRPr="00B62D34">
        <w:rPr>
          <w:rFonts w:ascii="Garamond" w:eastAsia="Calibri" w:hAnsi="Garamond"/>
          <w:bCs/>
          <w:lang w:val="pl-PL" w:eastAsia="en-US"/>
        </w:rPr>
        <w:t xml:space="preserve"> przeciwdziałanie skutkom pandemii</w:t>
      </w:r>
      <w:r w:rsidRPr="00B62D34">
        <w:rPr>
          <w:rFonts w:ascii="Garamond" w:eastAsia="Calibri" w:hAnsi="Garamond"/>
          <w:bCs/>
          <w:lang w:val="pl-PL" w:eastAsia="en-US"/>
        </w:rPr>
        <w:t xml:space="preserve"> COVID-19. </w:t>
      </w:r>
    </w:p>
    <w:sectPr w:rsidR="00D506E0" w:rsidRPr="00AC62C8" w:rsidSect="008E074B">
      <w:pgSz w:w="11906" w:h="16838"/>
      <w:pgMar w:top="255" w:right="1417" w:bottom="3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CBB"/>
    <w:multiLevelType w:val="multilevel"/>
    <w:tmpl w:val="B82052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555199"/>
    <w:multiLevelType w:val="multilevel"/>
    <w:tmpl w:val="2A5A0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FAB70A6"/>
    <w:multiLevelType w:val="hybridMultilevel"/>
    <w:tmpl w:val="EF38FD7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D0601A"/>
    <w:multiLevelType w:val="multilevel"/>
    <w:tmpl w:val="905C85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Garamond" w:eastAsia="Calibri" w:hAnsi="Garamond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BA24CE6"/>
    <w:multiLevelType w:val="hybridMultilevel"/>
    <w:tmpl w:val="B906C014"/>
    <w:lvl w:ilvl="0" w:tplc="FD2C3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7944">
    <w:abstractNumId w:val="0"/>
  </w:num>
  <w:num w:numId="2" w16cid:durableId="255554755">
    <w:abstractNumId w:val="3"/>
  </w:num>
  <w:num w:numId="3" w16cid:durableId="394161190">
    <w:abstractNumId w:val="4"/>
  </w:num>
  <w:num w:numId="4" w16cid:durableId="1073963467">
    <w:abstractNumId w:val="1"/>
  </w:num>
  <w:num w:numId="5" w16cid:durableId="175585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54"/>
    <w:rsid w:val="00176598"/>
    <w:rsid w:val="00224AC2"/>
    <w:rsid w:val="00324F74"/>
    <w:rsid w:val="003E705F"/>
    <w:rsid w:val="00520531"/>
    <w:rsid w:val="007849D9"/>
    <w:rsid w:val="007A5D54"/>
    <w:rsid w:val="008E074B"/>
    <w:rsid w:val="00AC62C8"/>
    <w:rsid w:val="00B62D34"/>
    <w:rsid w:val="00BF590D"/>
    <w:rsid w:val="00C70A6F"/>
    <w:rsid w:val="00D106F3"/>
    <w:rsid w:val="00D506E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A994"/>
  <w15:chartTrackingRefBased/>
  <w15:docId w15:val="{A8913F8C-0E82-47BE-B78B-F46C2EA9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1761</Characters>
  <Application>Microsoft Office Word</Application>
  <DocSecurity>0</DocSecurity>
  <Lines>47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Śliwa</dc:creator>
  <cp:keywords/>
  <dc:description/>
  <cp:lastModifiedBy>Magdalena Śliwa-Wajda</cp:lastModifiedBy>
  <cp:revision>2</cp:revision>
  <dcterms:created xsi:type="dcterms:W3CDTF">2026-02-28T14:50:00Z</dcterms:created>
  <dcterms:modified xsi:type="dcterms:W3CDTF">2026-02-28T14:50:00Z</dcterms:modified>
</cp:coreProperties>
</file>